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EB" w:rsidRDefault="002933EB" w:rsidP="00B10591">
      <w:pPr>
        <w:rPr>
          <w:u w:val="single"/>
        </w:rPr>
      </w:pPr>
    </w:p>
    <w:p w:rsidR="00B10591" w:rsidRPr="002933EB" w:rsidRDefault="00B10591" w:rsidP="00B10591">
      <w:r w:rsidRPr="002933EB">
        <w:rPr>
          <w:u w:val="single"/>
        </w:rPr>
        <w:t>Scope of Policy</w:t>
      </w:r>
      <w:r w:rsidRPr="002933EB">
        <w:t>:  This policy sets forth what constitutes fraudulent activities</w:t>
      </w:r>
      <w:r w:rsidR="00F835CA" w:rsidRPr="002933EB">
        <w:t>.</w:t>
      </w:r>
      <w:r w:rsidRPr="002933EB">
        <w:t xml:space="preserve"> </w:t>
      </w:r>
      <w:r w:rsidR="00F835CA" w:rsidRPr="002933EB">
        <w:t>T</w:t>
      </w:r>
      <w:r w:rsidRPr="002933EB">
        <w:t xml:space="preserve">he policy covers everyone from </w:t>
      </w:r>
      <w:r w:rsidR="00F835CA" w:rsidRPr="002933EB">
        <w:t>the Executive Director, Board of Commissioners</w:t>
      </w:r>
      <w:r w:rsidRPr="002933EB">
        <w:t xml:space="preserve"> to </w:t>
      </w:r>
      <w:r w:rsidR="00F835CA" w:rsidRPr="002933EB">
        <w:t xml:space="preserve">Administrative and Maintenance </w:t>
      </w:r>
      <w:r w:rsidRPr="002933EB">
        <w:t>employees.</w:t>
      </w:r>
    </w:p>
    <w:p w:rsidR="00B10591" w:rsidRPr="002933EB" w:rsidRDefault="00B10591" w:rsidP="00B10591"/>
    <w:p w:rsidR="00B10591" w:rsidRPr="002933EB" w:rsidRDefault="00B10591" w:rsidP="00B10591">
      <w:r w:rsidRPr="002933EB">
        <w:rPr>
          <w:u w:val="single"/>
        </w:rPr>
        <w:t>Definitions and Examples of Fraud, Waste and Abuse</w:t>
      </w:r>
      <w:r w:rsidRPr="002933EB">
        <w:t xml:space="preserve"> – Below are examples of the most serious of these activities, which may include, but are not limited to the following:</w:t>
      </w:r>
    </w:p>
    <w:p w:rsidR="00B10591" w:rsidRPr="002933EB" w:rsidRDefault="00B10591" w:rsidP="00B10591"/>
    <w:p w:rsidR="00B10591" w:rsidRPr="002933EB" w:rsidRDefault="00B10591" w:rsidP="00B10591">
      <w:pPr>
        <w:pStyle w:val="ListParagraph"/>
        <w:numPr>
          <w:ilvl w:val="0"/>
          <w:numId w:val="1"/>
        </w:numPr>
      </w:pPr>
      <w:r w:rsidRPr="002933EB">
        <w:t>Bribery or kickbacks</w:t>
      </w:r>
    </w:p>
    <w:p w:rsidR="00B10591" w:rsidRPr="002933EB" w:rsidRDefault="00B10591" w:rsidP="00B10591">
      <w:pPr>
        <w:pStyle w:val="ListParagraph"/>
        <w:numPr>
          <w:ilvl w:val="0"/>
          <w:numId w:val="1"/>
        </w:numPr>
      </w:pPr>
      <w:r w:rsidRPr="002933EB">
        <w:t>False claims or bid rigging</w:t>
      </w:r>
    </w:p>
    <w:p w:rsidR="00B10591" w:rsidRPr="002933EB" w:rsidRDefault="00B10591" w:rsidP="00B10591">
      <w:pPr>
        <w:pStyle w:val="ListParagraph"/>
        <w:numPr>
          <w:ilvl w:val="0"/>
          <w:numId w:val="1"/>
        </w:numPr>
      </w:pPr>
      <w:r w:rsidRPr="002933EB">
        <w:t>Theft, embezzlement or misappropriation of assets (including the personal use of an Authority credit card)</w:t>
      </w:r>
    </w:p>
    <w:p w:rsidR="00B10591" w:rsidRPr="002933EB" w:rsidRDefault="00B10591" w:rsidP="00B10591">
      <w:pPr>
        <w:pStyle w:val="ListParagraph"/>
        <w:numPr>
          <w:ilvl w:val="0"/>
          <w:numId w:val="1"/>
        </w:numPr>
      </w:pPr>
      <w:r w:rsidRPr="002933EB">
        <w:t>Forgery or alteration of documents</w:t>
      </w:r>
    </w:p>
    <w:p w:rsidR="00B10591" w:rsidRPr="002933EB" w:rsidRDefault="00B10591" w:rsidP="00B10591">
      <w:pPr>
        <w:pStyle w:val="ListParagraph"/>
        <w:numPr>
          <w:ilvl w:val="0"/>
          <w:numId w:val="1"/>
        </w:numPr>
      </w:pPr>
      <w:r w:rsidRPr="002933EB">
        <w:t>Impropriety with respect to financial transactions</w:t>
      </w:r>
    </w:p>
    <w:p w:rsidR="00B10591" w:rsidRPr="002933EB" w:rsidRDefault="00B10591" w:rsidP="00B10591">
      <w:pPr>
        <w:pStyle w:val="ListParagraph"/>
        <w:numPr>
          <w:ilvl w:val="0"/>
          <w:numId w:val="1"/>
        </w:numPr>
      </w:pPr>
      <w:r w:rsidRPr="002933EB">
        <w:t>Destruction or concealment of records or assets</w:t>
      </w:r>
    </w:p>
    <w:p w:rsidR="008B0F6A" w:rsidRPr="002933EB" w:rsidRDefault="008B0F6A" w:rsidP="00B10591">
      <w:pPr>
        <w:pStyle w:val="ListParagraph"/>
        <w:numPr>
          <w:ilvl w:val="0"/>
          <w:numId w:val="1"/>
        </w:numPr>
      </w:pPr>
      <w:r w:rsidRPr="002933EB">
        <w:t>Accounting practices, internal controls and auditing</w:t>
      </w:r>
    </w:p>
    <w:p w:rsidR="00B10591" w:rsidRPr="002933EB" w:rsidRDefault="00B10591" w:rsidP="00B10591"/>
    <w:p w:rsidR="00B10591" w:rsidRPr="002933EB" w:rsidRDefault="00B10591" w:rsidP="00B10591">
      <w:r w:rsidRPr="002933EB">
        <w:rPr>
          <w:u w:val="single"/>
        </w:rPr>
        <w:t>Responsibility to Report Suspected Fraud</w:t>
      </w:r>
      <w:r w:rsidRPr="002933EB">
        <w:t xml:space="preserve"> – </w:t>
      </w:r>
      <w:r w:rsidR="00873F30" w:rsidRPr="002933EB">
        <w:t xml:space="preserve">It is the responsibility of all directors, </w:t>
      </w:r>
      <w:r w:rsidR="008B0F6A" w:rsidRPr="002933EB">
        <w:t>commissioners</w:t>
      </w:r>
      <w:r w:rsidR="00873F30" w:rsidRPr="002933EB">
        <w:t xml:space="preserve"> and employees to report ethics violations or suspected violations in accordance with this Policy.</w:t>
      </w:r>
      <w:r w:rsidR="00920383" w:rsidRPr="002933EB">
        <w:t xml:space="preserve"> </w:t>
      </w:r>
      <w:r w:rsidRPr="002933EB">
        <w:t xml:space="preserve">Where fraud or related criminal activity, such as described above, is suspected, the activity should be reported to </w:t>
      </w:r>
      <w:r w:rsidR="00920383" w:rsidRPr="002933EB">
        <w:t xml:space="preserve">the Executive Director or Board of Directors </w:t>
      </w:r>
      <w:r w:rsidR="00F835CA" w:rsidRPr="002933EB">
        <w:t>or</w:t>
      </w:r>
      <w:r w:rsidR="00920383" w:rsidRPr="002933EB">
        <w:t xml:space="preserve"> to officials at DHCD or other enforcement authorities.</w:t>
      </w:r>
    </w:p>
    <w:p w:rsidR="00920383" w:rsidRPr="002933EB" w:rsidRDefault="00920383" w:rsidP="00920383">
      <w:pPr>
        <w:rPr>
          <w:u w:val="single"/>
        </w:rPr>
      </w:pPr>
    </w:p>
    <w:p w:rsidR="00F835CA" w:rsidRPr="002933EB" w:rsidRDefault="00920383" w:rsidP="00920383">
      <w:r w:rsidRPr="002933EB">
        <w:rPr>
          <w:u w:val="single"/>
        </w:rPr>
        <w:t>Reporting Violations</w:t>
      </w:r>
      <w:r w:rsidRPr="002933EB">
        <w:t xml:space="preserve"> - NHA has an open door policy and suggests that employees share their questions, concerns, suggestions or complaints with someone who can address them properly. In most cases, the Executive Director of NHA is in the best position to address an area of concern. However, if you are not comfortable </w:t>
      </w:r>
    </w:p>
    <w:p w:rsidR="00F835CA" w:rsidRPr="002933EB" w:rsidRDefault="00F835CA" w:rsidP="00920383"/>
    <w:p w:rsidR="008B0F6A" w:rsidRPr="002933EB" w:rsidRDefault="00920383" w:rsidP="00920383">
      <w:r w:rsidRPr="002933EB">
        <w:t xml:space="preserve">speaking with the Executive Director or you are not satisfied with the Executive Director’s response, you are encouraged to speak with a member of the Board of Commissioners. The Executive Director is required to report suspected ethics violations to NHA’s Board of Commissioners, who have specific responsibility to investigate all reported violations. </w:t>
      </w:r>
    </w:p>
    <w:p w:rsidR="00F835CA" w:rsidRPr="002933EB" w:rsidRDefault="00F835CA" w:rsidP="00B10591"/>
    <w:p w:rsidR="00920383" w:rsidRPr="002933EB" w:rsidRDefault="00920383" w:rsidP="00B10591">
      <w:r w:rsidRPr="002933EB">
        <w:t xml:space="preserve">For suspected fraud, </w:t>
      </w:r>
      <w:r w:rsidR="00F835CA" w:rsidRPr="002933EB">
        <w:t xml:space="preserve">waste or abuse </w:t>
      </w:r>
      <w:r w:rsidRPr="002933EB">
        <w:t xml:space="preserve">or when you are not satisfied or uncomfortable with following NHA’s open door policy, individuals should contact the Board of Directors. Employees suspecting fraud should report it and not attempt an investigation. Management and others should refrain from discussing the allegations with anyone other than those with a legitimate need to know. NHA’s Board of </w:t>
      </w:r>
      <w:r w:rsidR="008B0F6A" w:rsidRPr="002933EB">
        <w:t>Commissioners</w:t>
      </w:r>
      <w:r w:rsidRPr="002933EB">
        <w:t xml:space="preserve"> is responsible for investigating and resolving all reported complaints and allegations concerning violations and, at his/her discretion shall advise the Executive Director. </w:t>
      </w:r>
    </w:p>
    <w:p w:rsidR="008B0F6A" w:rsidRPr="002933EB" w:rsidRDefault="008B0F6A" w:rsidP="00B10591">
      <w:pPr>
        <w:rPr>
          <w:u w:val="single"/>
        </w:rPr>
      </w:pPr>
    </w:p>
    <w:p w:rsidR="00B10591" w:rsidRPr="002933EB" w:rsidRDefault="00920383" w:rsidP="00B10591">
      <w:r w:rsidRPr="002933EB">
        <w:rPr>
          <w:u w:val="single"/>
        </w:rPr>
        <w:lastRenderedPageBreak/>
        <w:t>No Retaliation</w:t>
      </w:r>
      <w:r w:rsidRPr="002933EB">
        <w:t xml:space="preserve"> - No director, officer or employee who, in good faith, reports an ethics violation shall suffer harassment, retaliation or adverse employment consequences. This Policy is intended to encourage and enable employees and others to raise serious concerns within NHA prior to seeking resolution outside the organization</w:t>
      </w:r>
    </w:p>
    <w:p w:rsidR="002933EB" w:rsidRDefault="002933EB" w:rsidP="00B10591">
      <w:pPr>
        <w:rPr>
          <w:u w:val="single"/>
        </w:rPr>
      </w:pPr>
    </w:p>
    <w:p w:rsidR="00B10591" w:rsidRPr="002933EB" w:rsidRDefault="00B10591" w:rsidP="00B10591">
      <w:r w:rsidRPr="002933EB">
        <w:rPr>
          <w:u w:val="single"/>
        </w:rPr>
        <w:t>Other Irregularities</w:t>
      </w:r>
      <w:r w:rsidRPr="002933EB">
        <w:t xml:space="preserve"> – Allegations of personal improprieties or other irregularities, not constituting fraud or criminal activity, should be resolved by </w:t>
      </w:r>
      <w:r w:rsidR="00F835CA" w:rsidRPr="002933EB">
        <w:t>the Executive Director</w:t>
      </w:r>
      <w:r w:rsidRPr="002933EB">
        <w:t>.</w:t>
      </w:r>
    </w:p>
    <w:p w:rsidR="00B10591" w:rsidRPr="002933EB" w:rsidRDefault="00B10591" w:rsidP="00B10591"/>
    <w:p w:rsidR="004E3CB3" w:rsidRPr="002933EB" w:rsidRDefault="00873F30" w:rsidP="00B10591">
      <w:r w:rsidRPr="002933EB">
        <w:rPr>
          <w:u w:val="single"/>
        </w:rPr>
        <w:t>Acting in Good Faith</w:t>
      </w:r>
      <w:r w:rsidRPr="002933EB">
        <w:t xml:space="preserve"> - </w:t>
      </w:r>
      <w:r w:rsidR="004E3CB3" w:rsidRPr="002933EB">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rsidR="004E3CB3" w:rsidRPr="002933EB" w:rsidRDefault="004E3CB3" w:rsidP="00B10591"/>
    <w:p w:rsidR="00873F30" w:rsidRPr="002933EB" w:rsidRDefault="00873F30" w:rsidP="00B10591">
      <w:r w:rsidRPr="002933EB">
        <w:rPr>
          <w:u w:val="single"/>
        </w:rPr>
        <w:t>Handling of Reported Violations</w:t>
      </w:r>
      <w:r w:rsidRPr="002933EB">
        <w:t xml:space="preserve"> - The Board of Commissioners will notify the sender and acknowledge receipt of the reported violation or suspected violation within ten (1</w:t>
      </w:r>
      <w:r w:rsidR="00920383" w:rsidRPr="002933EB">
        <w:t>0</w:t>
      </w:r>
      <w:r w:rsidRPr="002933EB">
        <w:t>) business days. All reports will be promptly investigate</w:t>
      </w:r>
      <w:r w:rsidR="008B0F6A" w:rsidRPr="002933EB">
        <w:t>d</w:t>
      </w:r>
      <w:r w:rsidRPr="002933EB">
        <w:t xml:space="preserve"> and appropriate corrective action will be taken if warranted by the investigation.</w:t>
      </w:r>
    </w:p>
    <w:p w:rsidR="004E3CB3" w:rsidRPr="002933EB" w:rsidRDefault="004E3CB3" w:rsidP="00B10591"/>
    <w:p w:rsidR="00920383" w:rsidRPr="002933EB" w:rsidRDefault="00920383" w:rsidP="00920383">
      <w:r w:rsidRPr="002933EB">
        <w:rPr>
          <w:u w:val="single"/>
        </w:rPr>
        <w:t>Disciplinary Action</w:t>
      </w:r>
      <w:r w:rsidRPr="002933EB">
        <w:t xml:space="preserve"> – Any recommendations to take disciplinary action, including the termination of employees, should be reviewed by counsel and </w:t>
      </w:r>
      <w:r w:rsidR="00F835CA" w:rsidRPr="002933EB">
        <w:t>the Executive Director</w:t>
      </w:r>
      <w:r w:rsidRPr="002933EB">
        <w:t>.</w:t>
      </w:r>
    </w:p>
    <w:p w:rsidR="00920383" w:rsidRPr="002933EB" w:rsidRDefault="00920383" w:rsidP="00920383">
      <w:pPr>
        <w:rPr>
          <w:u w:val="single"/>
        </w:rPr>
      </w:pPr>
    </w:p>
    <w:p w:rsidR="00920383" w:rsidRPr="002933EB" w:rsidRDefault="00920383" w:rsidP="00920383">
      <w:r w:rsidRPr="002933EB">
        <w:rPr>
          <w:u w:val="single"/>
        </w:rPr>
        <w:t>Confidentiality</w:t>
      </w:r>
      <w:r w:rsidRPr="002933EB">
        <w:t xml:space="preserve"> – 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 Any investigation resulting from suspected irregularities will not be disclosed to outsiders, except to the appropriate law enforcement authorities</w:t>
      </w:r>
      <w:r w:rsidR="00F835CA" w:rsidRPr="002933EB">
        <w:t xml:space="preserve"> and DHCD, if necessary</w:t>
      </w:r>
      <w:r w:rsidRPr="002933EB">
        <w:t>. Management will not retaliate against employees who report either fraudulent or non-fra</w:t>
      </w:r>
      <w:r w:rsidR="009C576A" w:rsidRPr="002933EB">
        <w:t>u</w:t>
      </w:r>
      <w:r w:rsidRPr="002933EB">
        <w:t xml:space="preserve">dulent irregularities. </w:t>
      </w:r>
    </w:p>
    <w:p w:rsidR="004E3CB3" w:rsidRPr="002933EB" w:rsidRDefault="004E3CB3" w:rsidP="00B10591"/>
    <w:p w:rsidR="00074020" w:rsidRPr="002933EB" w:rsidRDefault="00074020" w:rsidP="00B10591"/>
    <w:p w:rsidR="002933EB" w:rsidRDefault="002933EB" w:rsidP="002933EB">
      <w:pPr>
        <w:rPr>
          <w:sz w:val="28"/>
          <w:szCs w:val="28"/>
        </w:rPr>
      </w:pPr>
      <w:r w:rsidRPr="003E5E3C">
        <w:rPr>
          <w:sz w:val="28"/>
          <w:szCs w:val="28"/>
        </w:rPr>
        <w:t>This policy was approved by the Board of Commissioners for the Norton Housing Authority</w:t>
      </w:r>
      <w:r w:rsidR="00A526B5">
        <w:rPr>
          <w:sz w:val="28"/>
          <w:szCs w:val="28"/>
        </w:rPr>
        <w:t xml:space="preserve"> on </w:t>
      </w:r>
      <w:bookmarkStart w:id="0" w:name="_GoBack"/>
      <w:bookmarkEnd w:id="0"/>
      <w:r>
        <w:rPr>
          <w:sz w:val="28"/>
          <w:szCs w:val="28"/>
        </w:rPr>
        <w:t xml:space="preserve">November 20, 2012 </w:t>
      </w:r>
      <w:r w:rsidRPr="003E5E3C">
        <w:rPr>
          <w:sz w:val="28"/>
          <w:szCs w:val="28"/>
        </w:rPr>
        <w:t xml:space="preserve">and re-approved on </w:t>
      </w:r>
      <w:r w:rsidRPr="003E5E3C">
        <w:rPr>
          <w:b/>
          <w:sz w:val="28"/>
          <w:szCs w:val="28"/>
        </w:rPr>
        <w:t>October 13, 2015</w:t>
      </w:r>
      <w:r w:rsidRPr="003E5E3C">
        <w:rPr>
          <w:sz w:val="28"/>
          <w:szCs w:val="28"/>
        </w:rPr>
        <w:t>.</w:t>
      </w:r>
    </w:p>
    <w:p w:rsidR="002933EB" w:rsidRDefault="002933EB" w:rsidP="002933EB">
      <w:pPr>
        <w:rPr>
          <w:sz w:val="28"/>
          <w:szCs w:val="28"/>
        </w:rPr>
      </w:pPr>
    </w:p>
    <w:p w:rsidR="002933EB" w:rsidRDefault="002933EB" w:rsidP="002933EB">
      <w:pPr>
        <w:rPr>
          <w:sz w:val="28"/>
          <w:szCs w:val="28"/>
        </w:rPr>
      </w:pPr>
      <w:r>
        <w:rPr>
          <w:sz w:val="28"/>
          <w:szCs w:val="28"/>
        </w:rPr>
        <w:t>______________________</w:t>
      </w:r>
    </w:p>
    <w:p w:rsidR="002933EB" w:rsidRPr="003E5E3C" w:rsidRDefault="002933EB" w:rsidP="002933EB">
      <w:pPr>
        <w:rPr>
          <w:sz w:val="28"/>
          <w:szCs w:val="28"/>
        </w:rPr>
      </w:pPr>
      <w:r>
        <w:rPr>
          <w:sz w:val="28"/>
          <w:szCs w:val="28"/>
        </w:rPr>
        <w:t>James Dinsel, Chairman</w:t>
      </w:r>
    </w:p>
    <w:p w:rsidR="00074020" w:rsidRPr="002933EB" w:rsidRDefault="00074020" w:rsidP="00B10591"/>
    <w:p w:rsidR="00074020" w:rsidRPr="002933EB" w:rsidRDefault="00074020" w:rsidP="00B10591"/>
    <w:p w:rsidR="00074020" w:rsidRPr="002933EB" w:rsidRDefault="00074020" w:rsidP="00B10591"/>
    <w:sectPr w:rsidR="00074020" w:rsidRPr="002933EB" w:rsidSect="00873F30">
      <w:headerReference w:type="default" r:id="rId8"/>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36" w:rsidRDefault="00FB3C36" w:rsidP="00B10591">
      <w:r>
        <w:separator/>
      </w:r>
    </w:p>
  </w:endnote>
  <w:endnote w:type="continuationSeparator" w:id="0">
    <w:p w:rsidR="00FB3C36" w:rsidRDefault="00FB3C36" w:rsidP="00B1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933EB">
      <w:tc>
        <w:tcPr>
          <w:tcW w:w="918" w:type="dxa"/>
        </w:tcPr>
        <w:p w:rsidR="002933EB" w:rsidRDefault="002933EB">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A526B5" w:rsidRPr="00A526B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933EB" w:rsidRDefault="002933EB" w:rsidP="002933EB">
          <w:pPr>
            <w:pStyle w:val="Footer"/>
          </w:pPr>
          <w:r>
            <w:t>Norton Housing Authority</w:t>
          </w:r>
        </w:p>
        <w:p w:rsidR="002933EB" w:rsidRDefault="002933EB" w:rsidP="002933EB">
          <w:pPr>
            <w:pStyle w:val="Footer"/>
          </w:pPr>
          <w:r>
            <w:t>120 West Main Street, Norton, MA 02766</w:t>
          </w:r>
        </w:p>
        <w:p w:rsidR="002933EB" w:rsidRDefault="002933EB" w:rsidP="002933EB">
          <w:r>
            <w:t>Telephone (508) 285-3929    Fax (508) 285-5073</w:t>
          </w:r>
        </w:p>
        <w:p w:rsidR="002933EB" w:rsidRDefault="002933EB" w:rsidP="002933EB"/>
        <w:p w:rsidR="002933EB" w:rsidRDefault="002933EB">
          <w:pPr>
            <w:pStyle w:val="Footer"/>
          </w:pPr>
        </w:p>
      </w:tc>
    </w:tr>
  </w:tbl>
  <w:p w:rsidR="00074020" w:rsidRDefault="00074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36" w:rsidRDefault="00FB3C36" w:rsidP="00B10591">
      <w:r>
        <w:separator/>
      </w:r>
    </w:p>
  </w:footnote>
  <w:footnote w:type="continuationSeparator" w:id="0">
    <w:p w:rsidR="00FB3C36" w:rsidRDefault="00FB3C36" w:rsidP="00B1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2933EB">
      <w:trPr>
        <w:trHeight w:val="288"/>
      </w:trPr>
      <w:sdt>
        <w:sdtPr>
          <w:rPr>
            <w:b/>
            <w:sz w:val="28"/>
            <w:szCs w:val="28"/>
          </w:rPr>
          <w:alias w:val="Title"/>
          <w:id w:val="77761602"/>
          <w:placeholder>
            <w:docPart w:val="F9154E7BBC234F71B2CD229822F72E5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933EB" w:rsidRDefault="002933EB" w:rsidP="002933EB">
              <w:pPr>
                <w:pStyle w:val="Header"/>
                <w:jc w:val="right"/>
                <w:rPr>
                  <w:rFonts w:asciiTheme="majorHAnsi" w:eastAsiaTheme="majorEastAsia" w:hAnsiTheme="majorHAnsi" w:cstheme="majorBidi"/>
                  <w:sz w:val="36"/>
                  <w:szCs w:val="36"/>
                </w:rPr>
              </w:pPr>
              <w:r w:rsidRPr="002933EB">
                <w:rPr>
                  <w:b/>
                  <w:sz w:val="28"/>
                  <w:szCs w:val="28"/>
                </w:rPr>
                <w:t>WHITSLEBLOWER / FRAUD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7C9ED00276D48889AFD844FCBCF2DBC"/>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2933EB" w:rsidRDefault="002933EB" w:rsidP="002933E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074020" w:rsidRDefault="00074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C69"/>
    <w:multiLevelType w:val="hybridMultilevel"/>
    <w:tmpl w:val="E5A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91"/>
    <w:rsid w:val="00074020"/>
    <w:rsid w:val="000B214D"/>
    <w:rsid w:val="00117135"/>
    <w:rsid w:val="001D2FB4"/>
    <w:rsid w:val="001F6974"/>
    <w:rsid w:val="002933EB"/>
    <w:rsid w:val="004E3CB3"/>
    <w:rsid w:val="00873F30"/>
    <w:rsid w:val="008B0F6A"/>
    <w:rsid w:val="00920383"/>
    <w:rsid w:val="009C576A"/>
    <w:rsid w:val="00A526B5"/>
    <w:rsid w:val="00B10591"/>
    <w:rsid w:val="00F835CA"/>
    <w:rsid w:val="00FB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4C1D0"/>
  <w15:docId w15:val="{25036D96-CD6C-4360-A00F-602D0D48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59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591"/>
    <w:pPr>
      <w:ind w:left="720"/>
      <w:contextualSpacing/>
    </w:pPr>
  </w:style>
  <w:style w:type="paragraph" w:styleId="Header">
    <w:name w:val="header"/>
    <w:basedOn w:val="Normal"/>
    <w:link w:val="HeaderChar"/>
    <w:uiPriority w:val="99"/>
    <w:unhideWhenUsed/>
    <w:rsid w:val="00B10591"/>
    <w:pPr>
      <w:tabs>
        <w:tab w:val="center" w:pos="4680"/>
        <w:tab w:val="right" w:pos="9360"/>
      </w:tabs>
    </w:pPr>
  </w:style>
  <w:style w:type="character" w:customStyle="1" w:styleId="HeaderChar">
    <w:name w:val="Header Char"/>
    <w:basedOn w:val="DefaultParagraphFont"/>
    <w:link w:val="Header"/>
    <w:uiPriority w:val="99"/>
    <w:rsid w:val="00B1059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10591"/>
    <w:pPr>
      <w:tabs>
        <w:tab w:val="center" w:pos="4680"/>
        <w:tab w:val="right" w:pos="9360"/>
      </w:tabs>
    </w:pPr>
  </w:style>
  <w:style w:type="character" w:customStyle="1" w:styleId="FooterChar">
    <w:name w:val="Footer Char"/>
    <w:basedOn w:val="DefaultParagraphFont"/>
    <w:link w:val="Footer"/>
    <w:uiPriority w:val="99"/>
    <w:rsid w:val="00B10591"/>
    <w:rPr>
      <w:rFonts w:ascii="Times New Roman" w:eastAsia="SimSun" w:hAnsi="Times New Roman" w:cs="Times New Roman"/>
      <w:sz w:val="24"/>
      <w:szCs w:val="24"/>
      <w:lang w:eastAsia="zh-CN"/>
    </w:rPr>
  </w:style>
  <w:style w:type="paragraph" w:styleId="NoSpacing">
    <w:name w:val="No Spacing"/>
    <w:link w:val="NoSpacingChar"/>
    <w:uiPriority w:val="1"/>
    <w:qFormat/>
    <w:rsid w:val="004E3CB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E3CB3"/>
    <w:rPr>
      <w:rFonts w:eastAsiaTheme="minorEastAsia"/>
      <w:lang w:eastAsia="ja-JP"/>
    </w:rPr>
  </w:style>
  <w:style w:type="paragraph" w:styleId="BalloonText">
    <w:name w:val="Balloon Text"/>
    <w:basedOn w:val="Normal"/>
    <w:link w:val="BalloonTextChar"/>
    <w:uiPriority w:val="99"/>
    <w:semiHidden/>
    <w:unhideWhenUsed/>
    <w:rsid w:val="002933EB"/>
    <w:rPr>
      <w:rFonts w:ascii="Tahoma" w:hAnsi="Tahoma" w:cs="Tahoma"/>
      <w:sz w:val="16"/>
      <w:szCs w:val="16"/>
    </w:rPr>
  </w:style>
  <w:style w:type="character" w:customStyle="1" w:styleId="BalloonTextChar">
    <w:name w:val="Balloon Text Char"/>
    <w:basedOn w:val="DefaultParagraphFont"/>
    <w:link w:val="BalloonText"/>
    <w:uiPriority w:val="99"/>
    <w:semiHidden/>
    <w:rsid w:val="002933E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154E7BBC234F71B2CD229822F72E5B"/>
        <w:category>
          <w:name w:val="General"/>
          <w:gallery w:val="placeholder"/>
        </w:category>
        <w:types>
          <w:type w:val="bbPlcHdr"/>
        </w:types>
        <w:behaviors>
          <w:behavior w:val="content"/>
        </w:behaviors>
        <w:guid w:val="{E8D8AD9A-3EF4-485B-AC0B-1C83742D38CB}"/>
      </w:docPartPr>
      <w:docPartBody>
        <w:p w:rsidR="00D01CEE" w:rsidRDefault="00C233CC" w:rsidP="00C233CC">
          <w:pPr>
            <w:pStyle w:val="F9154E7BBC234F71B2CD229822F72E5B"/>
          </w:pPr>
          <w:r>
            <w:rPr>
              <w:rFonts w:asciiTheme="majorHAnsi" w:eastAsiaTheme="majorEastAsia" w:hAnsiTheme="majorHAnsi" w:cstheme="majorBidi"/>
              <w:sz w:val="36"/>
              <w:szCs w:val="36"/>
            </w:rPr>
            <w:t>[Type the document title]</w:t>
          </w:r>
        </w:p>
      </w:docPartBody>
    </w:docPart>
    <w:docPart>
      <w:docPartPr>
        <w:name w:val="E7C9ED00276D48889AFD844FCBCF2DBC"/>
        <w:category>
          <w:name w:val="General"/>
          <w:gallery w:val="placeholder"/>
        </w:category>
        <w:types>
          <w:type w:val="bbPlcHdr"/>
        </w:types>
        <w:behaviors>
          <w:behavior w:val="content"/>
        </w:behaviors>
        <w:guid w:val="{D32980D8-F5F5-4AF1-9454-12A3FFEAB671}"/>
      </w:docPartPr>
      <w:docPartBody>
        <w:p w:rsidR="00D01CEE" w:rsidRDefault="00C233CC" w:rsidP="00C233CC">
          <w:pPr>
            <w:pStyle w:val="E7C9ED00276D48889AFD844FCBCF2DB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CC"/>
    <w:rsid w:val="000345C6"/>
    <w:rsid w:val="005B6B07"/>
    <w:rsid w:val="00C233CC"/>
    <w:rsid w:val="00D0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154E7BBC234F71B2CD229822F72E5B">
    <w:name w:val="F9154E7BBC234F71B2CD229822F72E5B"/>
    <w:rsid w:val="00C233CC"/>
  </w:style>
  <w:style w:type="paragraph" w:customStyle="1" w:styleId="E7C9ED00276D48889AFD844FCBCF2DBC">
    <w:name w:val="E7C9ED00276D48889AFD844FCBCF2DBC"/>
    <w:rsid w:val="00C23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WHITSLEBLOWER / FRAUD POLICY</vt:lpstr>
    </vt:vector>
  </TitlesOfParts>
  <Company>Hewlett-Packard Company</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WHITSLEBLOWER / FRAUD POLICY</dc:title>
  <dc:creator>Reception</dc:creator>
  <cp:lastModifiedBy>Exec</cp:lastModifiedBy>
  <cp:revision>2</cp:revision>
  <cp:lastPrinted>2012-11-15T16:30:00Z</cp:lastPrinted>
  <dcterms:created xsi:type="dcterms:W3CDTF">2016-01-13T14:17:00Z</dcterms:created>
  <dcterms:modified xsi:type="dcterms:W3CDTF">2016-01-13T14:17:00Z</dcterms:modified>
</cp:coreProperties>
</file>